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B7828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jc w:val="both"/>
        <w:rPr>
          <w:rFonts w:ascii="黑体" w:hAnsi="黑体" w:eastAsia="黑体" w:cs="黑体"/>
          <w:color w:val="000000"/>
          <w:sz w:val="32"/>
          <w:szCs w:val="32"/>
          <w:highlight w:val="none"/>
          <w:lang w:eastAsia="zh-CN"/>
        </w:rPr>
      </w:pPr>
      <w:r>
        <w:rPr>
          <w:rFonts w:ascii="黑体" w:hAnsi="黑体" w:eastAsia="黑体" w:cs="黑体"/>
          <w:color w:val="000000"/>
          <w:sz w:val="32"/>
          <w:lang w:eastAsia="zh-CN"/>
        </w:rPr>
        <w:t>附件</w:t>
      </w:r>
    </w:p>
    <w:p w14:paraId="55BFE94A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青岛市企业应急引导基金服务体系</w:t>
      </w:r>
    </w:p>
    <w:p w14:paraId="35E9CC7C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jc w:val="center"/>
        <w:rPr>
          <w:lang w:eastAsia="zh-CN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2024年第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lang w:val="en-US" w:eastAsia="zh-CN"/>
        </w:rPr>
        <w:t>二</w:t>
      </w:r>
      <w:r>
        <w:rPr>
          <w:rFonts w:ascii="方正小标宋简体" w:hAnsi="方正小标宋简体" w:eastAsia="方正小标宋简体" w:cs="方正小标宋简体"/>
          <w:color w:val="000000"/>
          <w:sz w:val="44"/>
          <w:lang w:eastAsia="zh-CN"/>
        </w:rPr>
        <w:t>批备案机构名单</w:t>
      </w:r>
    </w:p>
    <w:bookmarkEnd w:id="0"/>
    <w:p w14:paraId="73662E2E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59" w:lineRule="atLeast"/>
        <w:ind w:firstLine="640"/>
        <w:jc w:val="both"/>
        <w:rPr>
          <w:lang w:eastAsia="zh-CN"/>
        </w:rPr>
      </w:pPr>
      <w:r>
        <w:rPr>
          <w:rFonts w:ascii="仿宋_GB2312" w:hAnsi="仿宋_GB2312" w:eastAsia="仿宋_GB2312" w:cs="仿宋_GB2312"/>
          <w:color w:val="000000"/>
          <w:sz w:val="32"/>
          <w:lang w:eastAsia="zh-CN"/>
        </w:rPr>
        <w:t> </w:t>
      </w:r>
    </w:p>
    <w:p w14:paraId="784AF72F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ascii="仿宋_GB2312" w:hAnsi="仿宋_GB2312" w:eastAsia="仿宋_GB2312"/>
          <w:lang w:eastAsia="zh-CN"/>
        </w:rPr>
      </w:pPr>
      <w:r>
        <w:rPr>
          <w:rFonts w:ascii="仿宋_GB2312" w:hAnsi="仿宋_GB2312" w:eastAsia="仿宋_GB2312" w:cs="仿宋_GB2312"/>
          <w:color w:val="000000"/>
          <w:sz w:val="32"/>
          <w:lang w:eastAsia="zh-CN"/>
        </w:rPr>
        <w:t>（排名不分先后）</w:t>
      </w:r>
    </w:p>
    <w:p w14:paraId="5F091628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青岛黄发小额贷款有限公司</w:t>
      </w:r>
    </w:p>
    <w:p w14:paraId="781E674B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青岛经联惠融企业服务有限公司</w:t>
      </w:r>
    </w:p>
    <w:p w14:paraId="4127AA3D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青岛财通普惠企业服务合伙企业（有限合伙）</w:t>
      </w:r>
    </w:p>
    <w:p w14:paraId="1459AFE5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青岛动车小镇锐安投资有限公司</w:t>
      </w:r>
    </w:p>
    <w:p w14:paraId="2A3DEABF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青岛诚开投资控股有限公司</w:t>
      </w:r>
    </w:p>
    <w:p w14:paraId="7F923A00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山东海容应急转贷产业投资有限公司</w:t>
      </w:r>
    </w:p>
    <w:p w14:paraId="10C6FBE9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山东甘雨林投资有限公司</w:t>
      </w:r>
    </w:p>
    <w:p w14:paraId="54B01485">
      <w:pPr>
        <w:pBdr>
          <w:top w:val="none" w:color="000000" w:sz="0" w:space="7"/>
          <w:left w:val="none" w:color="000000" w:sz="0" w:space="0"/>
          <w:bottom w:val="none" w:color="000000" w:sz="0" w:space="0"/>
          <w:right w:val="none" w:color="000000" w:sz="0" w:space="0"/>
        </w:pBdr>
        <w:spacing w:line="560" w:lineRule="exact"/>
        <w:ind w:firstLine="641"/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长烽数智科技（山东）有限公司</w:t>
      </w:r>
    </w:p>
    <w:p w14:paraId="6F1FA204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